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Stimate dle ministru, stimați colegi,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Mă bucur să revăd echipa sindicală în forță aici, acum, în acest debut de an școlar, cu dorința de a pune umărul la consolidarea stării de bine în sistemul educațional din Republica Moldova. De asemenea, mă bucur că îi avem alături de noi pe </w:t>
      </w:r>
      <w:proofErr w:type="spellStart"/>
      <w:r w:rsidRPr="00122E82">
        <w:rPr>
          <w:rFonts w:ascii="Times New Roman" w:hAnsi="Times New Roman" w:cs="Times New Roman"/>
          <w:sz w:val="28"/>
          <w:szCs w:val="28"/>
          <w:lang w:val="ro-RO"/>
        </w:rPr>
        <w:t>dnul</w:t>
      </w:r>
      <w:proofErr w:type="spellEnd"/>
      <w:r w:rsidRPr="00122E82">
        <w:rPr>
          <w:rFonts w:ascii="Times New Roman" w:hAnsi="Times New Roman" w:cs="Times New Roman"/>
          <w:sz w:val="28"/>
          <w:szCs w:val="28"/>
          <w:lang w:val="ro-RO"/>
        </w:rPr>
        <w:t xml:space="preserve"> ministru al Educației și Cercetării Dan Perciun, care a dat curs invitației noastre, în pofida agendei permanent full, și pe dna </w:t>
      </w:r>
      <w:proofErr w:type="spellStart"/>
      <w:r w:rsidRPr="00122E82">
        <w:rPr>
          <w:rFonts w:ascii="Times New Roman" w:hAnsi="Times New Roman" w:cs="Times New Roman"/>
          <w:sz w:val="28"/>
          <w:szCs w:val="28"/>
          <w:lang w:val="ro-RO"/>
        </w:rPr>
        <w:t>Lilia</w:t>
      </w:r>
      <w:proofErr w:type="spellEnd"/>
      <w:r w:rsidRPr="00122E82">
        <w:rPr>
          <w:rFonts w:ascii="Times New Roman" w:hAnsi="Times New Roman" w:cs="Times New Roman"/>
          <w:sz w:val="28"/>
          <w:szCs w:val="28"/>
          <w:lang w:val="ro-RO"/>
        </w:rPr>
        <w:t xml:space="preserve"> Ivanov, Directoarea Agenției Naționale pentru Curriculum și Evaluare.</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De mai mulți ani tot vorbim despre provocări și probleme cu care ne confruntăm, probleme pe care le punem în discuție în cadrul dialogului social, în cadrul întâlnirilor și dezbaterilor cu partenerii noștri.</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Apreciem deschiderea către un dialog constructiv și </w:t>
      </w:r>
      <w:proofErr w:type="spellStart"/>
      <w:r w:rsidRPr="00122E82">
        <w:rPr>
          <w:rFonts w:ascii="Times New Roman" w:hAnsi="Times New Roman" w:cs="Times New Roman"/>
          <w:sz w:val="28"/>
          <w:szCs w:val="28"/>
          <w:lang w:val="ro-RO"/>
        </w:rPr>
        <w:t>multiaspectual</w:t>
      </w:r>
      <w:proofErr w:type="spellEnd"/>
      <w:r w:rsidRPr="00122E82">
        <w:rPr>
          <w:rFonts w:ascii="Times New Roman" w:hAnsi="Times New Roman" w:cs="Times New Roman"/>
          <w:sz w:val="28"/>
          <w:szCs w:val="28"/>
          <w:lang w:val="ro-RO"/>
        </w:rPr>
        <w:t xml:space="preserve"> dintre Federația Sindicală a Educației și Științei și principalul nostru partener – Ministerul Educației și Cercetării. Am găsit, împreună cu ministerul, consens pe un șir larg de probleme pe care ni le-au înaintat colegii din grădinițe, școli, universități, avem exemple de implicare directă a dlui ministru pentru a urgenta soluționarea problemelor înaintate de sindicat: renunțarea la raportarea financiară a îndemnizației pentru materiale didactice, excluderea plăților din bugetele austere ale pedagogilor pentru formarea profesională și recalificări, ajustarea cadrului legislativ pentru ca pedagogii să fie protejați prin lege, reducerea raportării și diminuarea presiunii birocratice pe umerii pedagogilor și managerilor, etc.</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Toate aceste realizări sunt bune, ele vin să pună în valoare munca pedagogului, dar, </w:t>
      </w:r>
      <w:proofErr w:type="spellStart"/>
      <w:r w:rsidRPr="00122E82">
        <w:rPr>
          <w:rFonts w:ascii="Times New Roman" w:hAnsi="Times New Roman" w:cs="Times New Roman"/>
          <w:sz w:val="28"/>
          <w:szCs w:val="28"/>
          <w:lang w:val="ro-RO"/>
        </w:rPr>
        <w:t>domnule</w:t>
      </w:r>
      <w:proofErr w:type="spellEnd"/>
      <w:r w:rsidRPr="00122E82">
        <w:rPr>
          <w:rFonts w:ascii="Times New Roman" w:hAnsi="Times New Roman" w:cs="Times New Roman"/>
          <w:sz w:val="28"/>
          <w:szCs w:val="28"/>
          <w:lang w:val="ro-RO"/>
        </w:rPr>
        <w:t xml:space="preserve"> ministru, cu regret… constat că asta nu e suficient, că pedagogii din Republica Moldova nu au încă destule motive de satisfacție pentru efortul depus.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O să încerc să explic – de ce?</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S-a vorbit la întrunirile din august-septembrie despre provocări și valori. Am vorbit despre asta și noi, sindicaliștii. Provocările de bază enunțate sunt aceleași – insuficiența cadrelor calificate în sistem și exodul acestora, scăderea continuă a prestigiului profesiei de pedagog, carențe în realizarea unei educații de calitate, lipsa motivării sau, ca să fiu mai explicit – salariile mici.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lastRenderedPageBreak/>
        <w:t>Dar, dacă administrația instituțiilor, Organele Locale de Specialitate, Ministerul, vorbesc mai mult despre calitatea educației și necesitatea realizării performanțelor educaționale sub toate aspectele, în opinia noastră, accentele ar trebui puse pe lipsa motivării și pe necesitatea creșterilor salariale, pe necesitatea ridicării prestigiului profesiei.</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Toate aceste probleme sunt interdependente și, în egală măsură, influențează rezultatul, dar ne-am convins deja că principalul factor care pune în mișcare întreg sistemul de valori este motivarea. Am formulat, în acest sens, un slogan– avem un întreg sistem de valori în educație, dar pentru noi cea mai importantă este valoarea de referință!</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Prima provocare sistemică ține de deficitul de cadre didactice. Anul trecut operam cu cifra de 7-8 mii de cadre didactice lipsă în sistem. Aceste cifre pornesc de la premisa că avem nevoie de 7-8 mii de cadre didactice dacă toată lumea ar lucra cu o normă didactică (18 ore). În realitate, însă, norma care revine unui pedagog este de 1,25 sau 1,5 norme didactice, îndeosebi în municipii.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Acest fapt pune presiune asupra pedagogului, se mai fac și glumițe în acest sens - ai o normă didactică - mori de foame, ai două norme didactice - mori de lucru.</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Iar dacă lăsăm glumele, se accentuează din an în an fenomenul arderii profesionale la locul de muncă, iar una din principalele cauze a acestui fenomen este suprasarcina.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Avem cifra declarată de 407 tineri debutanți, ceea ce constituie, conform datelor MEC, o creștere de 15% comparativ cu anul precedent și 35% față de media ultimilor 5 ani. Am realizat și noi un sondaj în acest sens, cifrele noastre sunt diferite de cele oficiale, vom reveni asupra lor după totalizarea datelor.</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Este un pas important înainte, dar trebuie să păstrăm acest ritm și să căutăm noi argumente pentru a convinge absolvenții buni să vină la facultățile pedagogice. Am dori ca majorarea îndemnizației pentru debutanți să fie un fapt împlinit, un fapt real, nu doar un exercițiu matematic gen 3+2=5. Or, dacă se vorbește de majorarea îndemnizației, exercițiul matematic trebuie să înceapă de la 40.000 + 10.000 = </w:t>
      </w:r>
      <w:r w:rsidRPr="00122E82">
        <w:rPr>
          <w:rFonts w:ascii="Times New Roman" w:hAnsi="Times New Roman" w:cs="Times New Roman"/>
          <w:sz w:val="28"/>
          <w:szCs w:val="28"/>
          <w:lang w:val="ro-RO"/>
        </w:rPr>
        <w:lastRenderedPageBreak/>
        <w:t>50.000 lei pe an, iar suma care ar reveni unui debutant în acești 3+2 ani să crească real de la 200.000 la 250.000 lei. Asta înțelegem noi majorare!</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Un argument demn de a fi apreciat și consolidat în noul an școlar este Campania ”Fii Pro!”. Apreciem efortul ministerului în realizarea acestei campanii și am dori continuitate, cu implicarea mai multor parteneri și actori. Facultățile pedagogice trebuie să fie în acest sens actorii principali, iar Ministerul, împreună cu donatorii naționali și internaționali, urmează să fie principalul partener de dezvoltare al acestora.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Ne-am dori, de asemenea, ca actori nu mai puțin importanți în realizarea acestei campanii să devină directorii de licee din țară, care, împreună cu pedagogii notorii, cu mentorii, să orienteze absolvenții spre profesia de dascăl. Aici văd eu un teren și un motiv pentru implicare și din partea noastră, a liderilor sindicali, a activiștilor sindicali.</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Salutăm creșterea numărului de studenți la facultățile pedagogice în acest an (s-a anunțat cifra de 15% creștere după turul întâi, cifrele urmează a fi precizate), această creștere se datorează inclusiv și celor mai bine de 500 milioane lei investite, procesului de modernizare al Universităților.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Avem peste 1500 de tineri care au depus documentele la facultăți pedagogice, este o creștere, în pofida ”pragului” de 6,5 puncte, stabilit la admitere. Majorarea burselor la pedagogie este și asta un argument. În acest an s-a produs, de fapt, dublarea burselor pentru studenții care au ales să devină cadre didactice, valoarea acestor burse ajunge la 3460 lei.</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Bazele de practică pedagogică stabilite în școlile din republică este și asta un pas apreciabil. Ne bucură și faptul că în anul acesta s-a constituit rețeaua națională de mentori. Urmează ca persoanele identificate în calitate de mentori să fie instruite pentru ca să-și poată realiza atribuțiile.</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O altă provocare - nu mai puțin importantă - este să-i menținem în sistem pe cei cu experiență, pe cei care aduc performanță și calitate în educație. Ministerul a anunțat câteva dimensiuni care ne orientează, în acest sens, activitatea: salarizarea, formarea continuă și recalificările, reabilitarea prestigiului profesiei pedagogice, </w:t>
      </w:r>
      <w:r w:rsidRPr="00122E82">
        <w:rPr>
          <w:rFonts w:ascii="Times New Roman" w:hAnsi="Times New Roman" w:cs="Times New Roman"/>
          <w:sz w:val="28"/>
          <w:szCs w:val="28"/>
          <w:lang w:val="ro-RO"/>
        </w:rPr>
        <w:lastRenderedPageBreak/>
        <w:t>reducerea birocrației din sistem. Împărtășim aceste obiective și ne dorim realizarea lor, în măsură deplină, dar avem același refren – de la declararea unor intenții până la rezultate e ”o cale-atât de lungă…!”</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De la 1 ianuarie 2024 am avut o creștere a valorii de referință cu 300 lei, iar în cercetare - chiar cu 400 lei, ceea ce a dus la majorarea salariilor cu 15 și, respectiv, 21%. Desigur, este o realizare, un pas important spre atingerea obiectivului nostru strategic - de a aduce salariul mediu din educație la valoarea salariului mediu din economia națională. Către ianuarie 2024 diferența dintre salariul mediu din educație, care constituia 10366 lei și cel din economia națională, care constituia 13170.3 era de 2804.2 lei.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Dar, dacă azi stăm și calculăm,  avem o diferență deja de 3360 lei. Deci, problema noastră de bază nu doar că rămâne nerezolvată, datele problemei devin și mai alarmante. Calculele noastre vorbesc despre faptul că, urmare a majorării salariului de la 1 ianuarie 2024, în trimestrul  unu al anului 2024, diferența s-a redus doar cu 1.02%, iar la ziua de azi, discrepanța dintre salariul mediu din educație și cel mediu din economia națională crește în defavoarea sistemului educațional.</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O să vă prezint niște cifre, o să estimez niște costuri…</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Conform datelor BNS, salariul mediu pe țară în trimestrul doi este de 14.710 lei, iar salariul mediu din educație este de 10.710 lei. M-am referit un pic mai sus la diferența atestată de 3360 lei, ceea ce în procente constituie 23,9 la sută din salariul mediu pe țară.</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Pornind de la aceste repere, stabilim costurile. Înmulțim  3360 lei cu numărul de cadre didactice și non-didactice atestate în sistem – 75.417 angajați, conform datelor BNS pentru anul 2023 - și avem 253 milioane 350 mii lei.</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Pentru două luni ale anului 2024 am avea un necesar de cheltuieli de 507 milioane, iar cu contribuții pentru Fondul Social – de 654 milioane lei.</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În calcul anual, acoperirea costurilor care se cer pentru ca salariul din educație să fie echivalent cu salarul mediu din economia națională ar necesita 3,04 miliarde lei, iar cu contribuții – 3,9 miliarde.</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Alte aspecte </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w:t>
      </w:r>
      <w:r w:rsidRPr="00122E82">
        <w:rPr>
          <w:rFonts w:ascii="Times New Roman" w:hAnsi="Times New Roman" w:cs="Times New Roman"/>
          <w:sz w:val="28"/>
          <w:szCs w:val="28"/>
          <w:lang w:val="ro-RO"/>
        </w:rPr>
        <w:tab/>
        <w:t>Evoluția și estimarea cheltuielilor din Bugetul de Stat pentru educație:</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lastRenderedPageBreak/>
        <w:t>În 2022 – 14 miliarde 669,8 milioane lei</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În 2023 – 17 miliarde 476 milioane lei;</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În 2024 – 17 miliarde 406, 5 milioane lei conform datelor BNS, dar conform unor date de la MEC – 18 miliarde 200 milioane.</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În perspectivă – </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2025 – 18 miliarde 397,2 milioane lei</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2026 – 18 miliarde 361,6 milioane lei</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2027 – 18 miliarde 439,2 milioane lei</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w:t>
      </w:r>
      <w:r w:rsidRPr="00122E82">
        <w:rPr>
          <w:rFonts w:ascii="Times New Roman" w:hAnsi="Times New Roman" w:cs="Times New Roman"/>
          <w:sz w:val="28"/>
          <w:szCs w:val="28"/>
          <w:lang w:val="ro-RO"/>
        </w:rPr>
        <w:tab/>
        <w:t>Evoluția și estimarea ponderii cheltuielilor pentru educație în PIB:</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În 2022 – 5,4%</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În 2023 – 5,8%</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În 2024 – 5,1%</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În perspectivă – </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2025 – 5,1%</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2026 – 4,7%</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2027 – 4,3%</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O perspectivă îngrijorătoare, sunt obligat să menționez. Îngrijorător e și faptul că ponderea cheltuielilor din buget pentru Educație crește, iar investițiile în factorul uman din educație – evident scade.</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Ca să finalizez cu cifrele – comparăm suma de 18 miliarde investiții în educație cu suma de 3,9 miliarde care s-ar mai cere pentru ca să motivăm cadrele didactice și avem în față un obiectiv bun, cu costuri bune.</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Și ne întrebăm – merită sistemul educațional o asemenea investiție din partea statului, mai concret - din partea actualei guvernări? </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Răspunsul nostru este evident – MERITĂ. Pentru că Educația de Calitate costă! Pentru că vrem să atragem tineri în sistem – nu doar în școli, dar și în Universități, în Cercetare, -  nu prin îndemnizații și suplimente salariale, ci prin salarii </w:t>
      </w:r>
      <w:r w:rsidRPr="00122E82">
        <w:rPr>
          <w:rFonts w:ascii="Times New Roman" w:hAnsi="Times New Roman" w:cs="Times New Roman"/>
          <w:sz w:val="28"/>
          <w:szCs w:val="28"/>
          <w:lang w:val="ro-RO"/>
        </w:rPr>
        <w:lastRenderedPageBreak/>
        <w:t>motivante! Pentru că vrem să păstrăm cadrele performante și să facem profesia mai atractivă!</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MERITĂ – și pentru că vrem în Europa!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Da, ne dorim să intrăm în Europa cu salarii dacă nu ca în Europa, apoi mai aproape ca cele din Europa! Și cine dacă nu actuala guvernare trebuie să înțeleagă acest lucru și să ne susțină?</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Vreau să trasez câteva repere pentru agenda comună de negocieri colective </w:t>
      </w:r>
      <w:proofErr w:type="spellStart"/>
      <w:r w:rsidRPr="00122E82">
        <w:rPr>
          <w:rFonts w:ascii="Times New Roman" w:hAnsi="Times New Roman" w:cs="Times New Roman"/>
          <w:sz w:val="28"/>
          <w:szCs w:val="28"/>
          <w:lang w:val="ro-RO"/>
        </w:rPr>
        <w:t>ramurale</w:t>
      </w:r>
      <w:proofErr w:type="spellEnd"/>
      <w:r w:rsidRPr="00122E82">
        <w:rPr>
          <w:rFonts w:ascii="Times New Roman" w:hAnsi="Times New Roman" w:cs="Times New Roman"/>
          <w:sz w:val="28"/>
          <w:szCs w:val="28"/>
          <w:lang w:val="ro-RO"/>
        </w:rPr>
        <w:t xml:space="preserve">. Dle ministru, cred că și anul acesta, până la Ziua Pedagogului, ar trebui să aducem colegilor vești pozitive, dacă nu chiar bune. Pentru aceasta, ar fi necesară o întâlnire, în cadrul Comisiei </w:t>
      </w:r>
      <w:proofErr w:type="spellStart"/>
      <w:r w:rsidRPr="00122E82">
        <w:rPr>
          <w:rFonts w:ascii="Times New Roman" w:hAnsi="Times New Roman" w:cs="Times New Roman"/>
          <w:sz w:val="28"/>
          <w:szCs w:val="28"/>
          <w:lang w:val="ro-RO"/>
        </w:rPr>
        <w:t>ramurale</w:t>
      </w:r>
      <w:proofErr w:type="spellEnd"/>
      <w:r w:rsidRPr="00122E82">
        <w:rPr>
          <w:rFonts w:ascii="Times New Roman" w:hAnsi="Times New Roman" w:cs="Times New Roman"/>
          <w:sz w:val="28"/>
          <w:szCs w:val="28"/>
          <w:lang w:val="ro-RO"/>
        </w:rPr>
        <w:t xml:space="preserve"> de dialog social, și cu ministrul finanțelor, pentru a pune în discuție costurile enunțate mai sus și (cel mai important!) – să găsim și acoperire financiară a acestor costuri. Cred că data de 17-18 septembrie s-ar potrivi pentru această întâlnire, iar data de 24-25 septembrie ar fi potrivită pentru a trasa, în cadrul Comisiei de dialog social,  o perspectivă și a scoate vălul de ceață de pe problema majorărilor salariale. Problemă pe care mulți o ocolesc, dar care nu ne ocolește nici pe noi, cei de la sindicate, nici pe dumneavoastră, stimate dle ministru.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În final, o să mă refer la revendicările înaintate.</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Am abordat cele mai arzătoare probleme, dar nu toate. Consider că în cadrul pregătirilor către Congresul 8 al FSEȘ, în cadrul conferințelor de raportare, vom avea și mai multe abordări, cerințe și sugestii vizând drepturile și interesele membrilor de sindicat. Paralel, ne gândim și la prevederile următoarei Convenții Colective pentru anii 2025-2030, Contractelor Colective la nivel de instituții, care vor concretiza drepturile și garanțiile suplimentare pentru membrii de sindicat, precum și mecanismele de protecție social-economică.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Pe agenda noastră comună, avem un șir de revendicări întru realizarea și îmbunătățirea Legii 270, îndeosebi problema claselor salariale pentru metodiști, lucrători muzicali din grădinițe, problema gradelor și titlurilor științifice, acordarea ajutorului material, acordarea premiului anual (salariului al 13lea), în mărime de 100 de procente. </w:t>
      </w: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 xml:space="preserve">Avem restanțe regretabile față de cadrele didactice și de conducere din învățământul profesional-tehnic vizând acordarea celor 4000 lei îndemnizații, dar și vizând necesitatea majorării cuantumului acestei îndemnizații de la 4 mii la 5 mii lei. </w:t>
      </w:r>
    </w:p>
    <w:p w:rsidR="00122E82" w:rsidRPr="00122E82" w:rsidRDefault="00122E82" w:rsidP="00122E82">
      <w:pPr>
        <w:rPr>
          <w:rFonts w:ascii="Times New Roman" w:hAnsi="Times New Roman" w:cs="Times New Roman"/>
          <w:sz w:val="28"/>
          <w:szCs w:val="28"/>
          <w:lang w:val="ro-RO"/>
        </w:rPr>
      </w:pPr>
    </w:p>
    <w:p w:rsidR="00122E82"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Așteptările membrilor de sindicat sunt mari, dar în rezultatul eforturilor partenerilor – Guvern, Patronate, Sindicate, ne vom bucura de un Buget de Stat pentru anul 2025 orientat spre îmbunătățirea vieții angajaților din Educație și Cercetare.</w:t>
      </w:r>
    </w:p>
    <w:p w:rsidR="00122E82" w:rsidRPr="00122E82" w:rsidRDefault="00122E82" w:rsidP="00122E82">
      <w:pPr>
        <w:rPr>
          <w:rFonts w:ascii="Times New Roman" w:hAnsi="Times New Roman" w:cs="Times New Roman"/>
          <w:sz w:val="28"/>
          <w:szCs w:val="28"/>
          <w:lang w:val="ro-RO"/>
        </w:rPr>
      </w:pPr>
    </w:p>
    <w:p w:rsidR="00DE67C7" w:rsidRPr="00122E82" w:rsidRDefault="00122E82" w:rsidP="00122E82">
      <w:pPr>
        <w:rPr>
          <w:rFonts w:ascii="Times New Roman" w:hAnsi="Times New Roman" w:cs="Times New Roman"/>
          <w:sz w:val="28"/>
          <w:szCs w:val="28"/>
          <w:lang w:val="ro-RO"/>
        </w:rPr>
      </w:pPr>
      <w:r w:rsidRPr="00122E82">
        <w:rPr>
          <w:rFonts w:ascii="Times New Roman" w:hAnsi="Times New Roman" w:cs="Times New Roman"/>
          <w:sz w:val="28"/>
          <w:szCs w:val="28"/>
          <w:lang w:val="ro-RO"/>
        </w:rPr>
        <w:t>Vă felicit, stimați colegi,  cu debutul anului școlar și ne dorim succes în realizarea obiectivelor propuse.</w:t>
      </w:r>
      <w:bookmarkStart w:id="0" w:name="_GoBack"/>
      <w:bookmarkEnd w:id="0"/>
    </w:p>
    <w:sectPr w:rsidR="00DE67C7" w:rsidRPr="00122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00"/>
    <w:rsid w:val="00122E82"/>
    <w:rsid w:val="00DE67C7"/>
    <w:rsid w:val="00EC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52F7A-02FB-470B-BB6C-0B90693F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1910</Words>
  <Characters>10887</Characters>
  <Application>Microsoft Office Word</Application>
  <DocSecurity>0</DocSecurity>
  <Lines>90</Lines>
  <Paragraphs>25</Paragraphs>
  <ScaleCrop>false</ScaleCrop>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2</cp:revision>
  <dcterms:created xsi:type="dcterms:W3CDTF">2024-09-13T08:04:00Z</dcterms:created>
  <dcterms:modified xsi:type="dcterms:W3CDTF">2024-09-13T08:08:00Z</dcterms:modified>
</cp:coreProperties>
</file>